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EA" w:rsidRPr="00365F94" w:rsidRDefault="00D27CEA" w:rsidP="00D27CEA">
      <w:pPr>
        <w:tabs>
          <w:tab w:val="left" w:pos="561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F94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D27CEA" w:rsidRPr="00365F94" w:rsidRDefault="00D27CEA" w:rsidP="00D27CE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F94">
        <w:rPr>
          <w:rFonts w:ascii="Times New Roman" w:hAnsi="Times New Roman" w:cs="Times New Roman"/>
          <w:i/>
          <w:sz w:val="24"/>
          <w:szCs w:val="24"/>
        </w:rPr>
        <w:tab/>
        <w:t>к Административному регламенту</w:t>
      </w:r>
      <w:r w:rsidRPr="00365F94">
        <w:rPr>
          <w:rFonts w:ascii="Times New Roman" w:hAnsi="Times New Roman" w:cs="Times New Roman"/>
          <w:i/>
          <w:sz w:val="24"/>
          <w:szCs w:val="24"/>
        </w:rPr>
        <w:tab/>
        <w:t xml:space="preserve">предоставления муниципальной </w:t>
      </w:r>
      <w:proofErr w:type="gramStart"/>
      <w:r w:rsidRPr="00365F94">
        <w:rPr>
          <w:rFonts w:ascii="Times New Roman" w:hAnsi="Times New Roman" w:cs="Times New Roman"/>
          <w:i/>
          <w:sz w:val="24"/>
          <w:szCs w:val="24"/>
        </w:rPr>
        <w:t>услуги  «</w:t>
      </w:r>
      <w:proofErr w:type="gramEnd"/>
      <w:r w:rsidRPr="00365F94">
        <w:rPr>
          <w:rFonts w:ascii="Times New Roman" w:hAnsi="Times New Roman" w:cs="Times New Roman"/>
          <w:i/>
          <w:sz w:val="24"/>
          <w:szCs w:val="24"/>
        </w:rPr>
        <w:t xml:space="preserve">Выдача разрешения на строительство, </w:t>
      </w:r>
    </w:p>
    <w:p w:rsidR="00D27CEA" w:rsidRPr="00365F94" w:rsidRDefault="00D27CEA" w:rsidP="00D27CEA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F94">
        <w:rPr>
          <w:rFonts w:ascii="Times New Roman" w:hAnsi="Times New Roman" w:cs="Times New Roman"/>
          <w:i/>
          <w:sz w:val="24"/>
          <w:szCs w:val="24"/>
        </w:rPr>
        <w:t xml:space="preserve">реконструкцию объекта  </w:t>
      </w:r>
    </w:p>
    <w:p w:rsidR="00D27CEA" w:rsidRPr="00365F94" w:rsidRDefault="00D27CEA" w:rsidP="00D27CEA">
      <w:pPr>
        <w:tabs>
          <w:tab w:val="left" w:pos="5245"/>
        </w:tabs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365F94">
        <w:rPr>
          <w:rFonts w:ascii="Times New Roman" w:hAnsi="Times New Roman" w:cs="Times New Roman"/>
          <w:i/>
          <w:sz w:val="24"/>
          <w:szCs w:val="24"/>
        </w:rPr>
        <w:t>капитального строительства»</w:t>
      </w:r>
    </w:p>
    <w:p w:rsidR="003975C3" w:rsidRDefault="00D27CEA" w:rsidP="003975C3">
      <w:pPr>
        <w:tabs>
          <w:tab w:val="left" w:pos="56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365F9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3975C3"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                </w:t>
      </w:r>
      <w:r w:rsidR="003975C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   </w:t>
      </w:r>
      <w:r w:rsidR="003975C3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№ </w:t>
      </w:r>
      <w:r w:rsidR="00D2255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214</w:t>
      </w:r>
      <w:r w:rsidR="003975C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proofErr w:type="gramStart"/>
      <w:r w:rsidR="003975C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от  </w:t>
      </w:r>
      <w:r w:rsidR="003975C3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"</w:t>
      </w:r>
      <w:proofErr w:type="gramEnd"/>
      <w:r w:rsidR="003975C3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</w:t>
      </w:r>
      <w:r w:rsidR="00D2255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12</w:t>
      </w:r>
      <w:r w:rsidR="003975C3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"</w:t>
      </w:r>
      <w:r w:rsidR="003975C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   </w:t>
      </w:r>
      <w:r w:rsidR="00D2255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>октября</w:t>
      </w:r>
      <w:r w:rsidR="003975C3" w:rsidRPr="001057BD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</w:t>
      </w:r>
      <w:r w:rsidR="003975C3"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   </w:t>
      </w:r>
      <w:r w:rsidR="00D2255D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2015</w:t>
      </w:r>
      <w:r w:rsidR="003975C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г.</w:t>
      </w:r>
      <w:r w:rsidR="003975C3" w:rsidRPr="00365F9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ab/>
      </w:r>
    </w:p>
    <w:p w:rsidR="00D27CEA" w:rsidRDefault="00D27CEA" w:rsidP="00D27CEA">
      <w:pPr>
        <w:tabs>
          <w:tab w:val="left" w:pos="561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F94">
        <w:rPr>
          <w:rFonts w:ascii="Times New Roman" w:hAnsi="Times New Roman" w:cs="Times New Roman"/>
          <w:i/>
          <w:sz w:val="24"/>
          <w:szCs w:val="24"/>
        </w:rPr>
        <w:tab/>
      </w:r>
    </w:p>
    <w:p w:rsidR="00D27CEA" w:rsidRPr="006B7A4F" w:rsidRDefault="00D27CEA" w:rsidP="00D27CEA">
      <w:pPr>
        <w:tabs>
          <w:tab w:val="left" w:pos="561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A4F">
        <w:rPr>
          <w:rFonts w:ascii="Times New Roman" w:hAnsi="Times New Roman" w:cs="Times New Roman"/>
          <w:b/>
          <w:sz w:val="24"/>
          <w:szCs w:val="24"/>
        </w:rPr>
        <w:t xml:space="preserve"> Главе города </w:t>
      </w:r>
      <w:proofErr w:type="spellStart"/>
      <w:r w:rsidRPr="006B7A4F">
        <w:rPr>
          <w:rFonts w:ascii="Times New Roman" w:hAnsi="Times New Roman" w:cs="Times New Roman"/>
          <w:b/>
          <w:sz w:val="24"/>
          <w:szCs w:val="24"/>
        </w:rPr>
        <w:t>Ма</w:t>
      </w:r>
      <w:r w:rsidR="00D2255D">
        <w:rPr>
          <w:rFonts w:ascii="Times New Roman" w:hAnsi="Times New Roman" w:cs="Times New Roman"/>
          <w:b/>
          <w:sz w:val="24"/>
          <w:szCs w:val="24"/>
        </w:rPr>
        <w:t>лгобек</w:t>
      </w:r>
      <w:proofErr w:type="spellEnd"/>
    </w:p>
    <w:p w:rsidR="00D27CEA" w:rsidRPr="006B7A4F" w:rsidRDefault="00D27CEA" w:rsidP="00D27CEA">
      <w:pPr>
        <w:tabs>
          <w:tab w:val="left" w:pos="56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4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B7A4F"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3975C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Застройщик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5F94">
        <w:rPr>
          <w:rFonts w:ascii="Times New Roman" w:hAnsi="Times New Roman" w:cs="Times New Roman"/>
          <w:sz w:val="24"/>
          <w:szCs w:val="24"/>
        </w:rPr>
        <w:t>наименование юридического лица, физического лица,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планирующего осуществлять строительство или реконструкцию, ИНН,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юридический и почтовый адрес, Ф.И.О. руководителя, телефон,</w:t>
      </w:r>
      <w:bookmarkStart w:id="0" w:name="_GoBack"/>
      <w:bookmarkEnd w:id="0"/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 банковские реквизиты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(наименование банка, р/с, к/с)</w:t>
      </w:r>
    </w:p>
    <w:p w:rsidR="00D27CEA" w:rsidRPr="00365F94" w:rsidRDefault="00D27CEA" w:rsidP="00D27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66"/>
      <w:bookmarkEnd w:id="1"/>
      <w:r w:rsidRPr="00365F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7CEA" w:rsidRPr="00365F94" w:rsidRDefault="00D27CEA" w:rsidP="00D27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4">
        <w:rPr>
          <w:rFonts w:ascii="Times New Roman" w:hAnsi="Times New Roman" w:cs="Times New Roman"/>
          <w:b/>
          <w:sz w:val="24"/>
          <w:szCs w:val="24"/>
        </w:rPr>
        <w:t>Прошу выдать разрешение на следующие виды работ: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60"/>
        <w:gridCol w:w="3603"/>
        <w:gridCol w:w="850"/>
      </w:tblGrid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  <w:hyperlink w:anchor="Par525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  <w:hyperlink w:anchor="Par525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525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525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525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526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44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 и инженерных изысканий,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4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EA" w:rsidRPr="00365F94" w:rsidRDefault="00D27CEA" w:rsidP="00D2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CEA" w:rsidRPr="00365F94" w:rsidSect="00F87DC9">
          <w:headerReference w:type="default" r:id="rId8"/>
          <w:pgSz w:w="11906" w:h="16838"/>
          <w:pgMar w:top="865" w:right="707" w:bottom="1134" w:left="1701" w:header="283" w:footer="720" w:gutter="0"/>
          <w:cols w:space="720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60"/>
        <w:gridCol w:w="849"/>
        <w:gridCol w:w="771"/>
        <w:gridCol w:w="180"/>
        <w:gridCol w:w="154"/>
        <w:gridCol w:w="2252"/>
        <w:gridCol w:w="231"/>
        <w:gridCol w:w="456"/>
        <w:gridCol w:w="1360"/>
      </w:tblGrid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инженерных изысканий,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527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528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528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hyperlink w:anchor="Par529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  <w:hyperlink w:anchor="Par530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о проекте планировки и проекте межевания территории (в отношении линейных объектов) </w:t>
            </w:r>
            <w:hyperlink w:anchor="Par531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&lt;8&gt;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532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&lt;9&gt;</w:t>
              </w:r>
            </w:hyperlink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      </w:r>
            <w:hyperlink w:anchor="Par533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&lt;10&gt;</w:t>
              </w:r>
            </w:hyperlink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hyperlink w:anchor="Par534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&lt;11&gt;</w:t>
              </w:r>
            </w:hyperlink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1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1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1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подземной части (куб. м):</w:t>
            </w:r>
          </w:p>
        </w:tc>
        <w:tc>
          <w:tcPr>
            <w:tcW w:w="1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35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&lt;12&gt;</w:t>
              </w:r>
            </w:hyperlink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Количество квартир (шт. всего),</w:t>
            </w:r>
          </w:p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Общая площадь (с балконами, лоджиями с понижающим коэффициентом/без балконов, лоджий) кв. м: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шт./кв. м без балконов</w:t>
            </w:r>
          </w:p>
        </w:tc>
        <w:tc>
          <w:tcPr>
            <w:tcW w:w="2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шт./кв. м без балконов</w:t>
            </w:r>
          </w:p>
        </w:tc>
        <w:tc>
          <w:tcPr>
            <w:tcW w:w="2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шт./кв. м без балконов</w:t>
            </w:r>
          </w:p>
        </w:tc>
        <w:tc>
          <w:tcPr>
            <w:tcW w:w="2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шт./кв. м без балконов</w:t>
            </w:r>
          </w:p>
        </w:tc>
        <w:tc>
          <w:tcPr>
            <w:tcW w:w="2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шт./кв. м без балконов</w:t>
            </w:r>
          </w:p>
        </w:tc>
        <w:tc>
          <w:tcPr>
            <w:tcW w:w="2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ar536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&lt;13&gt;</w:t>
              </w:r>
            </w:hyperlink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5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ar537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&lt;14&gt;</w:t>
              </w:r>
            </w:hyperlink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Категория: (класс)</w:t>
            </w:r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CEA" w:rsidRPr="00365F94" w:rsidTr="00FD509A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показатели </w:t>
            </w:r>
            <w:hyperlink w:anchor="Par538" w:history="1">
              <w:r w:rsidRPr="00365F94">
                <w:rPr>
                  <w:rStyle w:val="a8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&lt;15&gt;</w:t>
              </w:r>
            </w:hyperlink>
            <w:r w:rsidRPr="00365F94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CEA" w:rsidRPr="00365F94" w:rsidRDefault="00D27CEA" w:rsidP="00FD5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Дата начала строительства 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(планируемая)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Дата окончания строительства 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(планируемая)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Срок строительства по календарному плану 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(нормативный срок продолжительности </w:t>
      </w:r>
      <w:proofErr w:type="spellStart"/>
      <w:r w:rsidRPr="00365F94">
        <w:rPr>
          <w:rFonts w:ascii="Times New Roman" w:hAnsi="Times New Roman" w:cs="Times New Roman"/>
          <w:sz w:val="24"/>
          <w:szCs w:val="24"/>
        </w:rPr>
        <w:t>стр-ва</w:t>
      </w:r>
      <w:proofErr w:type="spellEnd"/>
      <w:r w:rsidRPr="00365F94">
        <w:rPr>
          <w:rFonts w:ascii="Times New Roman" w:hAnsi="Times New Roman" w:cs="Times New Roman"/>
          <w:sz w:val="24"/>
          <w:szCs w:val="24"/>
        </w:rPr>
        <w:t>, определенный в разделе «Проект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  организации строительства»)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67" w:rsidRDefault="007C2267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lastRenderedPageBreak/>
        <w:t>Источник финансирования: 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Дополнительно информирую: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работы   будут   </w:t>
      </w:r>
      <w:proofErr w:type="gramStart"/>
      <w:r w:rsidRPr="00365F94">
        <w:rPr>
          <w:rFonts w:ascii="Times New Roman" w:hAnsi="Times New Roman" w:cs="Times New Roman"/>
          <w:sz w:val="24"/>
          <w:szCs w:val="24"/>
        </w:rPr>
        <w:t>производиться  подрядным</w:t>
      </w:r>
      <w:proofErr w:type="gramEnd"/>
      <w:r w:rsidRPr="00365F94">
        <w:rPr>
          <w:rFonts w:ascii="Times New Roman" w:hAnsi="Times New Roman" w:cs="Times New Roman"/>
          <w:sz w:val="24"/>
          <w:szCs w:val="24"/>
        </w:rPr>
        <w:t xml:space="preserve">  (хозяйственным)  способом  в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соответствии с договором от «____» ____________ 20_____ г. № 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(наименование организации, ИНН, почтовый адрес, Ф.И.О. руководителя, номер                                 телефона)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право выполнения строительно-монтажных работ закреплено 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от «_____» ______________ 20 _____ г. № 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производителем работ приказом от «____» ________ 20___ г.  № ______________ назначен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65F94">
        <w:rPr>
          <w:rFonts w:ascii="Times New Roman" w:hAnsi="Times New Roman" w:cs="Times New Roman"/>
          <w:sz w:val="24"/>
          <w:szCs w:val="24"/>
        </w:rPr>
        <w:t>функции  заказчика</w:t>
      </w:r>
      <w:proofErr w:type="gramEnd"/>
      <w:r w:rsidRPr="00365F94">
        <w:rPr>
          <w:rFonts w:ascii="Times New Roman" w:hAnsi="Times New Roman" w:cs="Times New Roman"/>
          <w:sz w:val="24"/>
          <w:szCs w:val="24"/>
        </w:rPr>
        <w:t xml:space="preserve">  (застройщика) в соответствии с договором от                                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365F9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65F94">
        <w:rPr>
          <w:rFonts w:ascii="Times New Roman" w:hAnsi="Times New Roman" w:cs="Times New Roman"/>
          <w:sz w:val="24"/>
          <w:szCs w:val="24"/>
        </w:rPr>
        <w:t xml:space="preserve">_________20__г.   № ______ будет осуществлять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(наименование организации, ИНН, почтовый адрес, Ф.И.О. руководителя, номер                                 телефона) право выполнения функций заказчика (застройщика) закреплено _____________________________________________________________________________________________________________________________________________________________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от «____» ___________ 20___ г.           № 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5F94">
        <w:rPr>
          <w:rFonts w:ascii="Times New Roman" w:hAnsi="Times New Roman" w:cs="Times New Roman"/>
          <w:sz w:val="24"/>
          <w:szCs w:val="24"/>
        </w:rPr>
        <w:t>Обязуюсь  обо</w:t>
      </w:r>
      <w:proofErr w:type="gramEnd"/>
      <w:r w:rsidRPr="00365F94">
        <w:rPr>
          <w:rFonts w:ascii="Times New Roman" w:hAnsi="Times New Roman" w:cs="Times New Roman"/>
          <w:sz w:val="24"/>
          <w:szCs w:val="24"/>
        </w:rPr>
        <w:t xml:space="preserve">  всех  изменениях,  связанных  с приведенными в настоящем</w:t>
      </w:r>
    </w:p>
    <w:p w:rsidR="00D27CEA" w:rsidRPr="00365F94" w:rsidRDefault="00D27CEA" w:rsidP="00FD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заявлении   </w:t>
      </w:r>
      <w:proofErr w:type="gramStart"/>
      <w:r w:rsidRPr="00365F94">
        <w:rPr>
          <w:rFonts w:ascii="Times New Roman" w:hAnsi="Times New Roman" w:cs="Times New Roman"/>
          <w:sz w:val="24"/>
          <w:szCs w:val="24"/>
        </w:rPr>
        <w:t xml:space="preserve">сведениями,   </w:t>
      </w:r>
      <w:proofErr w:type="gramEnd"/>
      <w:r w:rsidRPr="00365F94">
        <w:rPr>
          <w:rFonts w:ascii="Times New Roman" w:hAnsi="Times New Roman" w:cs="Times New Roman"/>
          <w:sz w:val="24"/>
          <w:szCs w:val="24"/>
        </w:rPr>
        <w:t xml:space="preserve">сообщать   в  </w:t>
      </w:r>
      <w:r w:rsidR="00FD509A">
        <w:rPr>
          <w:rFonts w:ascii="Times New Roman" w:hAnsi="Times New Roman" w:cs="Times New Roman"/>
          <w:sz w:val="24"/>
          <w:szCs w:val="24"/>
        </w:rPr>
        <w:t xml:space="preserve">Администрацию МО "Городской округ город </w:t>
      </w:r>
      <w:proofErr w:type="spellStart"/>
      <w:r w:rsidR="00FD509A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="00FD509A">
        <w:rPr>
          <w:rFonts w:ascii="Times New Roman" w:hAnsi="Times New Roman" w:cs="Times New Roman"/>
          <w:sz w:val="24"/>
          <w:szCs w:val="24"/>
        </w:rPr>
        <w:t>"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Застройщик (распорядитель кредитов) 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(должность, фамилия, имя, отчество)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       ____________________</w:t>
      </w:r>
    </w:p>
    <w:p w:rsidR="00D27CEA" w:rsidRPr="00365F94" w:rsidRDefault="00D27CEA" w:rsidP="00D27CEA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     М.П.</w:t>
      </w:r>
      <w:r w:rsidRPr="00365F94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9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F94">
        <w:rPr>
          <w:rFonts w:ascii="Times New Roman" w:hAnsi="Times New Roman" w:cs="Times New Roman"/>
          <w:sz w:val="18"/>
          <w:szCs w:val="18"/>
        </w:rPr>
        <w:t>&lt;1&gt; Указываются: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65F94">
        <w:rPr>
          <w:rFonts w:ascii="Times New Roman" w:hAnsi="Times New Roman" w:cs="Times New Roman"/>
          <w:sz w:val="18"/>
          <w:szCs w:val="18"/>
        </w:rPr>
        <w:t>- фамилия, имя, отчество (если имеется) гражданина для физического лица;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F94">
        <w:rPr>
          <w:rFonts w:ascii="Times New Roman" w:eastAsia="Arial" w:hAnsi="Times New Roman" w:cs="Times New Roman"/>
          <w:sz w:val="18"/>
          <w:szCs w:val="18"/>
        </w:rPr>
        <w:t xml:space="preserve">- полное наименование организации в соответствии со </w:t>
      </w:r>
      <w:hyperlink r:id="rId9" w:history="1">
        <w:r w:rsidRPr="00365F94">
          <w:rPr>
            <w:rStyle w:val="a8"/>
            <w:rFonts w:ascii="Times New Roman" w:eastAsia="Arial" w:hAnsi="Times New Roman" w:cs="Times New Roman"/>
            <w:color w:val="auto"/>
            <w:sz w:val="18"/>
            <w:szCs w:val="18"/>
            <w:u w:val="none"/>
          </w:rPr>
          <w:t>статьей 54</w:t>
        </w:r>
      </w:hyperlink>
      <w:r w:rsidRPr="00365F94">
        <w:rPr>
          <w:rFonts w:ascii="Times New Roman" w:eastAsia="Arial" w:hAnsi="Times New Roman" w:cs="Times New Roman"/>
          <w:sz w:val="18"/>
          <w:szCs w:val="18"/>
        </w:rPr>
        <w:t xml:space="preserve"> Гражданского кодекса Российской Федерации для юридического лица.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525"/>
      <w:bookmarkEnd w:id="2"/>
      <w:r w:rsidRPr="00365F94">
        <w:rPr>
          <w:rFonts w:ascii="Times New Roman" w:hAnsi="Times New Roman" w:cs="Times New Roman"/>
          <w:sz w:val="18"/>
          <w:szCs w:val="18"/>
        </w:rPr>
        <w:t>&lt;2&gt;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526"/>
      <w:bookmarkEnd w:id="3"/>
      <w:r w:rsidRPr="00365F94">
        <w:rPr>
          <w:rFonts w:ascii="Times New Roman" w:hAnsi="Times New Roman" w:cs="Times New Roman"/>
          <w:sz w:val="18"/>
          <w:szCs w:val="18"/>
        </w:rPr>
        <w:t>&lt;3&gt;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527"/>
      <w:bookmarkEnd w:id="4"/>
      <w:r w:rsidRPr="00365F94">
        <w:rPr>
          <w:rFonts w:ascii="Times New Roman" w:hAnsi="Times New Roman" w:cs="Times New Roman"/>
          <w:sz w:val="18"/>
          <w:szCs w:val="18"/>
        </w:rPr>
        <w:t>&lt;4&gt;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528"/>
      <w:bookmarkEnd w:id="5"/>
      <w:r w:rsidRPr="00365F94">
        <w:rPr>
          <w:rFonts w:ascii="Times New Roman" w:hAnsi="Times New Roman" w:cs="Times New Roman"/>
          <w:sz w:val="18"/>
          <w:szCs w:val="18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529"/>
      <w:bookmarkEnd w:id="6"/>
      <w:r w:rsidRPr="00365F94">
        <w:rPr>
          <w:rFonts w:ascii="Times New Roman" w:hAnsi="Times New Roman" w:cs="Times New Roman"/>
          <w:sz w:val="18"/>
          <w:szCs w:val="18"/>
        </w:rPr>
        <w:t>&lt;6&gt;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530"/>
      <w:bookmarkEnd w:id="7"/>
      <w:r w:rsidRPr="00365F94">
        <w:rPr>
          <w:rFonts w:ascii="Times New Roman" w:hAnsi="Times New Roman" w:cs="Times New Roman"/>
          <w:sz w:val="18"/>
          <w:szCs w:val="18"/>
        </w:rPr>
        <w:t>&lt;7&gt;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531"/>
      <w:bookmarkEnd w:id="8"/>
      <w:r w:rsidRPr="00365F94">
        <w:rPr>
          <w:rFonts w:ascii="Times New Roman" w:hAnsi="Times New Roman" w:cs="Times New Roman"/>
          <w:sz w:val="18"/>
          <w:szCs w:val="18"/>
        </w:rPr>
        <w:t>&lt;8&gt;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532"/>
      <w:bookmarkEnd w:id="9"/>
      <w:r w:rsidRPr="00365F94">
        <w:rPr>
          <w:rFonts w:ascii="Times New Roman" w:hAnsi="Times New Roman" w:cs="Times New Roman"/>
          <w:sz w:val="18"/>
          <w:szCs w:val="18"/>
        </w:rPr>
        <w:t>&lt;9&gt; Указывается кем, когда разработана проектная документация (реквизиты документа, наименование проектной организации).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533"/>
      <w:bookmarkEnd w:id="10"/>
      <w:r w:rsidRPr="00365F94">
        <w:rPr>
          <w:rFonts w:ascii="Times New Roman" w:hAnsi="Times New Roman" w:cs="Times New Roman"/>
          <w:sz w:val="18"/>
          <w:szCs w:val="18"/>
        </w:rPr>
        <w:t>&lt;10&gt; В отношении линейных объектов допускается заполнение не всех граф раздела.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534"/>
      <w:bookmarkEnd w:id="11"/>
      <w:r w:rsidRPr="00365F94">
        <w:rPr>
          <w:rFonts w:ascii="Times New Roman" w:hAnsi="Times New Roman" w:cs="Times New Roman"/>
          <w:sz w:val="18"/>
          <w:szCs w:val="18"/>
        </w:rPr>
        <w:t>&lt;11&gt;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535"/>
      <w:bookmarkEnd w:id="12"/>
      <w:r w:rsidRPr="00365F94">
        <w:rPr>
          <w:rFonts w:ascii="Times New Roman" w:hAnsi="Times New Roman" w:cs="Times New Roman"/>
          <w:sz w:val="18"/>
          <w:szCs w:val="18"/>
        </w:rPr>
        <w:t>&lt;12&gt;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536"/>
      <w:bookmarkEnd w:id="13"/>
      <w:r w:rsidRPr="00365F94">
        <w:rPr>
          <w:rFonts w:ascii="Times New Roman" w:hAnsi="Times New Roman" w:cs="Times New Roman"/>
          <w:sz w:val="18"/>
          <w:szCs w:val="18"/>
        </w:rPr>
        <w:t>&lt;13&gt;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537"/>
      <w:bookmarkEnd w:id="14"/>
      <w:r w:rsidRPr="00365F94">
        <w:rPr>
          <w:rFonts w:ascii="Times New Roman" w:hAnsi="Times New Roman" w:cs="Times New Roman"/>
          <w:sz w:val="18"/>
          <w:szCs w:val="18"/>
        </w:rPr>
        <w:t>&lt;14&gt;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D27CEA" w:rsidRPr="00365F94" w:rsidRDefault="00D27CEA" w:rsidP="00D27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538"/>
      <w:bookmarkEnd w:id="15"/>
      <w:r w:rsidRPr="00365F94">
        <w:rPr>
          <w:rFonts w:ascii="Times New Roman" w:hAnsi="Times New Roman" w:cs="Times New Roman"/>
          <w:sz w:val="18"/>
          <w:szCs w:val="18"/>
        </w:rPr>
        <w:t>&lt;15&gt;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27CEA" w:rsidRPr="00365F94" w:rsidRDefault="00D27CEA" w:rsidP="00D27C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27CEA" w:rsidRPr="00365F94" w:rsidSect="007202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CD" w:rsidRDefault="00B419CD" w:rsidP="00324B78">
      <w:pPr>
        <w:spacing w:after="0" w:line="240" w:lineRule="auto"/>
      </w:pPr>
      <w:r>
        <w:separator/>
      </w:r>
    </w:p>
  </w:endnote>
  <w:endnote w:type="continuationSeparator" w:id="0">
    <w:p w:rsidR="00B419CD" w:rsidRDefault="00B419CD" w:rsidP="003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CD" w:rsidRDefault="00B419CD" w:rsidP="00324B78">
      <w:pPr>
        <w:spacing w:after="0" w:line="240" w:lineRule="auto"/>
      </w:pPr>
      <w:r>
        <w:separator/>
      </w:r>
    </w:p>
  </w:footnote>
  <w:footnote w:type="continuationSeparator" w:id="0">
    <w:p w:rsidR="00B419CD" w:rsidRDefault="00B419CD" w:rsidP="003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Pr="00F64466" w:rsidRDefault="00FD509A" w:rsidP="00FD509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9A" w:rsidRDefault="00FD50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F4C1D"/>
    <w:multiLevelType w:val="hybridMultilevel"/>
    <w:tmpl w:val="F32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E41F8"/>
    <w:multiLevelType w:val="hybridMultilevel"/>
    <w:tmpl w:val="B3C0833A"/>
    <w:lvl w:ilvl="0" w:tplc="EEE454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14CE"/>
    <w:multiLevelType w:val="hybridMultilevel"/>
    <w:tmpl w:val="CB644D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36445"/>
    <w:multiLevelType w:val="hybridMultilevel"/>
    <w:tmpl w:val="56BE29E6"/>
    <w:lvl w:ilvl="0" w:tplc="AECC64CA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76A53"/>
    <w:multiLevelType w:val="multilevel"/>
    <w:tmpl w:val="570838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495A11"/>
    <w:multiLevelType w:val="multilevel"/>
    <w:tmpl w:val="A016E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30A"/>
    <w:multiLevelType w:val="hybridMultilevel"/>
    <w:tmpl w:val="66B82EAC"/>
    <w:lvl w:ilvl="0" w:tplc="77D4A1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2247"/>
    <w:multiLevelType w:val="hybridMultilevel"/>
    <w:tmpl w:val="9370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3898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7C5277"/>
    <w:multiLevelType w:val="hybridMultilevel"/>
    <w:tmpl w:val="57723838"/>
    <w:lvl w:ilvl="0" w:tplc="4A2CE0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14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74B3C"/>
    <w:multiLevelType w:val="multilevel"/>
    <w:tmpl w:val="DEC02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2B68D2"/>
    <w:multiLevelType w:val="multilevel"/>
    <w:tmpl w:val="FBE2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5D5"/>
    <w:rsid w:val="00005F88"/>
    <w:rsid w:val="00006352"/>
    <w:rsid w:val="00035E5E"/>
    <w:rsid w:val="0003739E"/>
    <w:rsid w:val="000412D5"/>
    <w:rsid w:val="0004358C"/>
    <w:rsid w:val="0004463E"/>
    <w:rsid w:val="000476C8"/>
    <w:rsid w:val="00075985"/>
    <w:rsid w:val="00075FFE"/>
    <w:rsid w:val="000A74B0"/>
    <w:rsid w:val="000E078F"/>
    <w:rsid w:val="000E6D64"/>
    <w:rsid w:val="001057BD"/>
    <w:rsid w:val="00152634"/>
    <w:rsid w:val="0017262D"/>
    <w:rsid w:val="00186C9A"/>
    <w:rsid w:val="00190A9F"/>
    <w:rsid w:val="002453D5"/>
    <w:rsid w:val="00254C13"/>
    <w:rsid w:val="00262B29"/>
    <w:rsid w:val="00262F52"/>
    <w:rsid w:val="002934F9"/>
    <w:rsid w:val="002A60C7"/>
    <w:rsid w:val="002C56B7"/>
    <w:rsid w:val="002F5FD5"/>
    <w:rsid w:val="002F6DD9"/>
    <w:rsid w:val="00305D7F"/>
    <w:rsid w:val="003230AC"/>
    <w:rsid w:val="003234FA"/>
    <w:rsid w:val="00324B78"/>
    <w:rsid w:val="0033313C"/>
    <w:rsid w:val="00351773"/>
    <w:rsid w:val="00351C34"/>
    <w:rsid w:val="00374462"/>
    <w:rsid w:val="00376A68"/>
    <w:rsid w:val="003975C3"/>
    <w:rsid w:val="003E1F65"/>
    <w:rsid w:val="003E712C"/>
    <w:rsid w:val="003F37ED"/>
    <w:rsid w:val="00401DAF"/>
    <w:rsid w:val="004266D5"/>
    <w:rsid w:val="00435E77"/>
    <w:rsid w:val="00441356"/>
    <w:rsid w:val="0046130A"/>
    <w:rsid w:val="00463BC1"/>
    <w:rsid w:val="004651BA"/>
    <w:rsid w:val="00484F6B"/>
    <w:rsid w:val="0048646D"/>
    <w:rsid w:val="004D24D5"/>
    <w:rsid w:val="004D3531"/>
    <w:rsid w:val="005131D8"/>
    <w:rsid w:val="005155F6"/>
    <w:rsid w:val="0053038F"/>
    <w:rsid w:val="005452AD"/>
    <w:rsid w:val="00555D25"/>
    <w:rsid w:val="005A09D5"/>
    <w:rsid w:val="005A5D3A"/>
    <w:rsid w:val="005A6F29"/>
    <w:rsid w:val="005B7C2F"/>
    <w:rsid w:val="005C5DD5"/>
    <w:rsid w:val="005D7AA0"/>
    <w:rsid w:val="00603EFF"/>
    <w:rsid w:val="00606997"/>
    <w:rsid w:val="0063587D"/>
    <w:rsid w:val="0063651F"/>
    <w:rsid w:val="0064355E"/>
    <w:rsid w:val="00656234"/>
    <w:rsid w:val="00660F26"/>
    <w:rsid w:val="0067726A"/>
    <w:rsid w:val="00695D6A"/>
    <w:rsid w:val="006B69AD"/>
    <w:rsid w:val="006C392E"/>
    <w:rsid w:val="006C4013"/>
    <w:rsid w:val="006E198D"/>
    <w:rsid w:val="006F449A"/>
    <w:rsid w:val="0072024C"/>
    <w:rsid w:val="0072200E"/>
    <w:rsid w:val="00730454"/>
    <w:rsid w:val="00732AB8"/>
    <w:rsid w:val="00743B2B"/>
    <w:rsid w:val="00750E9D"/>
    <w:rsid w:val="00751BFB"/>
    <w:rsid w:val="00752D53"/>
    <w:rsid w:val="007C2267"/>
    <w:rsid w:val="007C3D77"/>
    <w:rsid w:val="007E3B6C"/>
    <w:rsid w:val="007F777B"/>
    <w:rsid w:val="008031EC"/>
    <w:rsid w:val="00833ACB"/>
    <w:rsid w:val="00840D59"/>
    <w:rsid w:val="00862311"/>
    <w:rsid w:val="008659FD"/>
    <w:rsid w:val="0087210F"/>
    <w:rsid w:val="008852A9"/>
    <w:rsid w:val="008B3E80"/>
    <w:rsid w:val="008F64F6"/>
    <w:rsid w:val="009021D8"/>
    <w:rsid w:val="00916EF4"/>
    <w:rsid w:val="00920515"/>
    <w:rsid w:val="00927F35"/>
    <w:rsid w:val="00930435"/>
    <w:rsid w:val="00930B55"/>
    <w:rsid w:val="00943ED3"/>
    <w:rsid w:val="00966108"/>
    <w:rsid w:val="009763B2"/>
    <w:rsid w:val="00976CE8"/>
    <w:rsid w:val="00990798"/>
    <w:rsid w:val="009F30D0"/>
    <w:rsid w:val="00A358F0"/>
    <w:rsid w:val="00A44C22"/>
    <w:rsid w:val="00AC680D"/>
    <w:rsid w:val="00AC77D3"/>
    <w:rsid w:val="00AF029D"/>
    <w:rsid w:val="00AF1CD8"/>
    <w:rsid w:val="00AF25D5"/>
    <w:rsid w:val="00B04E44"/>
    <w:rsid w:val="00B15EC0"/>
    <w:rsid w:val="00B20F54"/>
    <w:rsid w:val="00B30F67"/>
    <w:rsid w:val="00B419CD"/>
    <w:rsid w:val="00B82BBC"/>
    <w:rsid w:val="00B86C9B"/>
    <w:rsid w:val="00BC3EB1"/>
    <w:rsid w:val="00BD1A86"/>
    <w:rsid w:val="00BF7469"/>
    <w:rsid w:val="00C0356B"/>
    <w:rsid w:val="00C4059B"/>
    <w:rsid w:val="00C50E50"/>
    <w:rsid w:val="00C53A23"/>
    <w:rsid w:val="00C67C67"/>
    <w:rsid w:val="00C74F4C"/>
    <w:rsid w:val="00CA24C8"/>
    <w:rsid w:val="00CA4118"/>
    <w:rsid w:val="00CD5FDB"/>
    <w:rsid w:val="00D12868"/>
    <w:rsid w:val="00D2255D"/>
    <w:rsid w:val="00D25C32"/>
    <w:rsid w:val="00D27CEA"/>
    <w:rsid w:val="00D35AA1"/>
    <w:rsid w:val="00D37453"/>
    <w:rsid w:val="00D47E34"/>
    <w:rsid w:val="00D70C50"/>
    <w:rsid w:val="00D73F21"/>
    <w:rsid w:val="00D8239D"/>
    <w:rsid w:val="00DA6113"/>
    <w:rsid w:val="00DB5DA2"/>
    <w:rsid w:val="00DB7448"/>
    <w:rsid w:val="00DC2C8A"/>
    <w:rsid w:val="00DD7562"/>
    <w:rsid w:val="00E23709"/>
    <w:rsid w:val="00E31BEB"/>
    <w:rsid w:val="00E42CBB"/>
    <w:rsid w:val="00E44031"/>
    <w:rsid w:val="00E52AE4"/>
    <w:rsid w:val="00E647E7"/>
    <w:rsid w:val="00E71BE6"/>
    <w:rsid w:val="00EB2151"/>
    <w:rsid w:val="00ED6BAD"/>
    <w:rsid w:val="00EE20ED"/>
    <w:rsid w:val="00EE33CE"/>
    <w:rsid w:val="00F00B56"/>
    <w:rsid w:val="00F03561"/>
    <w:rsid w:val="00F04FA6"/>
    <w:rsid w:val="00F06D24"/>
    <w:rsid w:val="00F16957"/>
    <w:rsid w:val="00F42CAC"/>
    <w:rsid w:val="00F66B05"/>
    <w:rsid w:val="00F87DC9"/>
    <w:rsid w:val="00FB0840"/>
    <w:rsid w:val="00FC4FCB"/>
    <w:rsid w:val="00FC5E0A"/>
    <w:rsid w:val="00FC70DA"/>
    <w:rsid w:val="00FD509A"/>
    <w:rsid w:val="00FE36FD"/>
    <w:rsid w:val="00FE3EF4"/>
    <w:rsid w:val="00FF16CA"/>
    <w:rsid w:val="00FF1B4C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6B46"/>
  <w15:docId w15:val="{AC2D8943-34FB-4088-A4AD-590361B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CB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D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DD7562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24B78"/>
  </w:style>
  <w:style w:type="paragraph" w:styleId="ab">
    <w:name w:val="footer"/>
    <w:basedOn w:val="a"/>
    <w:link w:val="ac"/>
    <w:uiPriority w:val="99"/>
    <w:semiHidden/>
    <w:unhideWhenUsed/>
    <w:rsid w:val="0032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B78"/>
  </w:style>
  <w:style w:type="paragraph" w:customStyle="1" w:styleId="ConsPlusTitle">
    <w:name w:val="ConsPlusTitle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27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27CEA"/>
    <w:pPr>
      <w:spacing w:after="0" w:line="240" w:lineRule="auto"/>
    </w:pPr>
  </w:style>
  <w:style w:type="paragraph" w:customStyle="1" w:styleId="ConsPlusNormal">
    <w:name w:val="ConsPlusNormal"/>
    <w:rsid w:val="00D27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27CE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F0246C63F55B5F4358826F3F9986A8A5CC883CD183D685B03904B4D9gBa5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5D26-B840-4E93-8C93-EC1575B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Ахильгов</dc:creator>
  <cp:lastModifiedBy>Пользователь</cp:lastModifiedBy>
  <cp:revision>3</cp:revision>
  <cp:lastPrinted>2017-09-15T09:24:00Z</cp:lastPrinted>
  <dcterms:created xsi:type="dcterms:W3CDTF">2017-09-21T07:20:00Z</dcterms:created>
  <dcterms:modified xsi:type="dcterms:W3CDTF">2017-09-27T18:04:00Z</dcterms:modified>
</cp:coreProperties>
</file>